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2"/>
        <w:jc w:val="center"/>
      </w:pPr>
      <w:r/>
      <w:bookmarkStart w:id="0" w:name="undefined"/>
      <w:r/>
      <w:bookmarkEnd w:id="0"/>
      <w:r>
        <w:rPr>
          <w:sz w:val="24"/>
        </w:rPr>
        <w:t xml:space="preserve">ТРЕБОВАНИЯ</w:t>
      </w:r>
      <w:r/>
      <w:r/>
    </w:p>
    <w:p>
      <w:pPr>
        <w:pStyle w:val="1_632"/>
        <w:jc w:val="center"/>
      </w:pPr>
      <w:r>
        <w:rPr>
          <w:sz w:val="24"/>
        </w:rPr>
        <w:t xml:space="preserve">К ЗАПОЛНЕНИЮ И ОФОРМЛЕНИЮ ЗАЯВЛЕНИЯ О ПРЕДОСТАВЛЕНИИ</w:t>
      </w:r>
      <w:r/>
      <w:r/>
    </w:p>
    <w:p>
      <w:pPr>
        <w:pStyle w:val="1_632"/>
        <w:jc w:val="center"/>
      </w:pPr>
      <w:r>
        <w:rPr>
          <w:sz w:val="24"/>
        </w:rPr>
        <w:t xml:space="preserve">ВРЕМЕННОЙ ГОСУДАРСТВЕННОЙ АККРЕДИТАЦИИ ОБРАЗОВАТЕЛЬНОЙ</w:t>
      </w:r>
      <w:r/>
      <w:r/>
    </w:p>
    <w:p>
      <w:pPr>
        <w:pStyle w:val="1_632"/>
        <w:jc w:val="center"/>
      </w:pPr>
      <w:r>
        <w:rPr>
          <w:sz w:val="24"/>
        </w:rPr>
        <w:t xml:space="preserve">ДЕЯТЕЛЬНОСТИ В СВЯЗИ С УСТАНОВЛЕНИЕМ КОНТРОЛЬНЫХ ЦИФР</w:t>
      </w:r>
      <w:r/>
      <w:r/>
    </w:p>
    <w:p>
      <w:pPr>
        <w:pStyle w:val="1_632"/>
        <w:jc w:val="center"/>
      </w:pPr>
      <w:r>
        <w:rPr>
          <w:sz w:val="24"/>
        </w:rPr>
        <w:t xml:space="preserve">ПРИЕМА ЗА СЧЕТ БЮДЖЕТНЫХ АССИГНОВАНИЙ ФЕДЕРАЛЬНОГО</w:t>
      </w:r>
      <w:r/>
      <w:r/>
    </w:p>
    <w:p>
      <w:pPr>
        <w:pStyle w:val="1_632"/>
        <w:jc w:val="center"/>
      </w:pPr>
      <w:r>
        <w:rPr>
          <w:sz w:val="24"/>
        </w:rPr>
        <w:t xml:space="preserve">БЮДЖЕТА, БЮДЖЕТОВ СУБЪЕКТОВ РОССИЙСКОЙ ФЕДЕРАЦИИ</w:t>
      </w:r>
      <w:r/>
      <w:r/>
    </w:p>
    <w:p>
      <w:pPr>
        <w:pStyle w:val="1_632"/>
        <w:jc w:val="center"/>
      </w:pPr>
      <w:r>
        <w:rPr>
          <w:sz w:val="24"/>
        </w:rPr>
        <w:t xml:space="preserve">И МЕСТНЫХ БЮДЖЕТОВ</w:t>
      </w:r>
      <w:r/>
      <w:r/>
    </w:p>
    <w:p>
      <w:pPr>
        <w:pStyle w:val="1_631"/>
        <w:jc w:val="both"/>
      </w:pPr>
      <w:r>
        <w:rPr>
          <w:sz w:val="24"/>
        </w:rPr>
      </w:r>
      <w:r/>
      <w:r/>
    </w:p>
    <w:p>
      <w:pPr>
        <w:pStyle w:val="1_631"/>
        <w:ind w:firstLine="540"/>
        <w:jc w:val="both"/>
      </w:pPr>
      <w:r>
        <w:rPr>
          <w:sz w:val="24"/>
        </w:rPr>
        <w:t xml:space="preserve">1. </w:t>
      </w:r>
      <w:hyperlink w:tooltip="Заявление" w:anchor="P1198" w:history="1">
        <w:r>
          <w:rPr>
            <w:color w:val="0000ff"/>
            <w:sz w:val="24"/>
          </w:rPr>
          <w:t xml:space="preserve">Заявление</w:t>
        </w:r>
      </w:hyperlink>
      <w:r>
        <w:rPr>
          <w:sz w:val="24"/>
        </w:rPr>
        <w:t xml:space="preserve"> о предоставлении временной государственной </w:t>
      </w:r>
      <w:r>
        <w:rPr>
          <w:sz w:val="24"/>
        </w:rPr>
        <w:t xml:space="preserve">аккредитации образовательной деятельности в связи с установлением контрольных цифр приема за счет бюджетных ассигнований федерального бюджета, бюджетов субъектов Российской Федерации и местных бюджетов (далее - заявление) направляется организацией, осущест</w:t>
      </w:r>
      <w:r>
        <w:rPr>
          <w:sz w:val="24"/>
        </w:rPr>
        <w:t xml:space="preserve">вляющей образовательную деятельность, индивидуальным предпринимателем, за исключением индивидуальных предпринимателей, осуществляющих образовательную деятельность непосредственно (далее соответственно - заявитель, организация, индивидуальный предпринимател</w:t>
      </w:r>
      <w:r>
        <w:rPr>
          <w:sz w:val="24"/>
        </w:rPr>
        <w:t xml:space="preserve">ь), в Федеральную службу по надзору в сфере образования и науки или исполнительные органы субъектов Российской Федерации, осуществляющие переданные Российской Федерацией полномочия в сфере образования &lt;1&gt; (далее - аккредитационный орган), в форме электронн</w:t>
      </w:r>
      <w:r>
        <w:rPr>
          <w:sz w:val="24"/>
        </w:rPr>
        <w:t xml:space="preserve">ого документа, подписанного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</w:t>
      </w:r>
      <w:r>
        <w:rPr>
          <w:sz w:val="24"/>
        </w:rPr>
        <w:t xml:space="preserve">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&lt;2&gt;, с использованием информационно-телекоммуникационных сетей общего п</w:t>
      </w:r>
      <w:r>
        <w:rPr>
          <w:sz w:val="24"/>
        </w:rPr>
        <w:t xml:space="preserve">ользования, в том числе сети "Интернет", включая федеральную государственную информационную систему "Единый портал государственных и муниципальных услуг (функций)" &lt;3&gt; (далее - Единый портал), региональные порталы государственных и муниципальных услуг &lt;4&gt;.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&lt;1&gt; </w:t>
      </w:r>
      <w:hyperlink r:id="rId8" w:tooltip="Федеральный закон от 29.12.2012 N 273-ФЗ (ред. от 08.03.2026) &quot;Об образовании в Российской Федерации&quot; {КонсультантПлюс}" w:history="1">
        <w:r>
          <w:rPr>
            <w:color w:val="0000ff"/>
            <w:sz w:val="24"/>
          </w:rPr>
          <w:t xml:space="preserve">Часть 5 статьи 92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&lt;2&gt; </w:t>
      </w:r>
      <w:hyperlink r:id="rId9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{КонсультантПлюс}" w:history="1">
        <w:r>
          <w:rPr>
            <w:color w:val="0000ff"/>
            <w:sz w:val="24"/>
          </w:rPr>
          <w:t xml:space="preserve">Правила</w:t>
        </w:r>
      </w:hyperlink>
      <w:r>
        <w:rPr>
          <w:sz w:val="24"/>
        </w:rPr>
        <w:t xml:space="preserve"> создания и использования сертификата ключа проверки усиленной неквалифицированной электронной подписи в инфраструктуре, обеспечив</w:t>
      </w:r>
      <w:r>
        <w:rPr>
          <w:sz w:val="24"/>
        </w:rPr>
        <w:t xml:space="preserve">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утвержденные постановлением Правительства Российской Федерации от 1 декабря 2021 г. N 2152.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&lt;3&gt; </w:t>
      </w:r>
      <w:hyperlink r:id="rId10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&lt;4&gt; </w:t>
      </w:r>
      <w:hyperlink r:id="rId11" w:tooltip="Федеральный закон от 27.07.2010 N 210-ФЗ (ред. от 29.12.2025) &quot;Об организации предоставления государственных и муниципальных услуг&quot; {КонсультантПлюс}" w:history="1">
        <w:r>
          <w:rPr>
            <w:color w:val="0000ff"/>
            <w:sz w:val="24"/>
          </w:rPr>
          <w:t xml:space="preserve">Часть 2 статьи 21</w:t>
        </w:r>
      </w:hyperlink>
      <w:r>
        <w:rPr>
          <w:sz w:val="24"/>
        </w:rPr>
        <w:t xml:space="preserve"> Федерального закона от 27 июля 2010 г. N 210-ФЗ "Об организации предоставления государственных и муниципальных услуг".</w:t>
      </w:r>
      <w:r/>
      <w:r/>
    </w:p>
    <w:p>
      <w:pPr>
        <w:pStyle w:val="1_631"/>
        <w:jc w:val="both"/>
      </w:pPr>
      <w:r>
        <w:rPr>
          <w:sz w:val="24"/>
        </w:rPr>
      </w:r>
      <w:r/>
      <w:r/>
    </w:p>
    <w:p>
      <w:pPr>
        <w:pStyle w:val="1_631"/>
        <w:ind w:firstLine="540"/>
        <w:jc w:val="both"/>
      </w:pPr>
      <w:r>
        <w:rPr>
          <w:sz w:val="24"/>
        </w:rPr>
        <w:t xml:space="preserve">2. </w:t>
      </w:r>
      <w:hyperlink w:tooltip="Заявление" w:anchor="P1198" w:history="1">
        <w:r>
          <w:rPr>
            <w:color w:val="0000ff"/>
            <w:sz w:val="24"/>
          </w:rPr>
          <w:t xml:space="preserve">Заявление</w:t>
        </w:r>
      </w:hyperlink>
      <w:r>
        <w:rPr>
          <w:sz w:val="24"/>
        </w:rPr>
        <w:t xml:space="preserve"> заполняется на русском языке, за исключением случая, установленного </w:t>
      </w:r>
      <w:hyperlink w:tooltip="5. В текстовом поле &quot;Сведения о заявителе&quot; формы заявления указываются следующие сведения:" w:anchor="P1303" w:history="1">
        <w:r>
          <w:rPr>
            <w:color w:val="0000ff"/>
            <w:sz w:val="24"/>
          </w:rPr>
          <w:t xml:space="preserve">пунктом 5</w:t>
        </w:r>
      </w:hyperlink>
      <w:r>
        <w:rPr>
          <w:sz w:val="24"/>
        </w:rPr>
        <w:t xml:space="preserve"> настоящих Требований.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3. В </w:t>
      </w:r>
      <w:hyperlink w:tooltip="Заявление" w:anchor="P1198" w:history="1">
        <w:r>
          <w:rPr>
            <w:color w:val="0000ff"/>
            <w:sz w:val="24"/>
          </w:rPr>
          <w:t xml:space="preserve">форме</w:t>
        </w:r>
      </w:hyperlink>
      <w:r>
        <w:rPr>
          <w:sz w:val="24"/>
        </w:rPr>
        <w:t xml:space="preserve"> заявления заполняются все строки и графы. Недопустимо добавление в форму заявления или исключение из формы заявления строк и граф, за исключением случаев, установленных </w:t>
      </w:r>
      <w:hyperlink w:tooltip="6. В текстовом поле &quot;Сведения о филиале&quot; формы заявления указываются полное и сокращенное (при наличии) наименования филиала организации, адрес филиала организации, код причины постановки на учет филиала организации в налоговом органе по месту нахождения филиала в соответствии со сведениями, содержащимися в Едином государственном реестре юридических лиц." w:anchor="P1310" w:history="1">
        <w:r>
          <w:rPr>
            <w:color w:val="0000ff"/>
            <w:sz w:val="24"/>
          </w:rPr>
          <w:t xml:space="preserve">пунктами 6</w:t>
        </w:r>
      </w:hyperlink>
      <w:r>
        <w:rPr>
          <w:sz w:val="24"/>
        </w:rPr>
        <w:t xml:space="preserve">, </w:t>
      </w:r>
      <w:hyperlink w:tooltip="8. Строка 2 формы заявления заполняется в соответствии с частью 5 статьи 10 Федерального закона N 273-ФЗ." w:anchor="P1313" w:history="1">
        <w:r>
          <w:rPr>
            <w:color w:val="0000ff"/>
            <w:sz w:val="24"/>
          </w:rPr>
          <w:t xml:space="preserve">8</w:t>
        </w:r>
      </w:hyperlink>
      <w:r>
        <w:rPr>
          <w:sz w:val="24"/>
        </w:rPr>
        <w:t xml:space="preserve"> - 10 настоящих Требований.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4. В текстовом </w:t>
      </w:r>
      <w:hyperlink w:tooltip="Представляется" w:anchor="P1201" w:history="1">
        <w:r>
          <w:rPr>
            <w:color w:val="0000ff"/>
            <w:sz w:val="24"/>
          </w:rPr>
          <w:t xml:space="preserve">поле</w:t>
        </w:r>
      </w:hyperlink>
      <w:r>
        <w:rPr>
          <w:sz w:val="24"/>
        </w:rPr>
        <w:t xml:space="preserve"> "Представляется в аккредитационный орган" формы заявления указывается полное наименование аккредитационного органа, в который направляется заявление.</w:t>
      </w:r>
      <w:r/>
      <w:r/>
    </w:p>
    <w:p>
      <w:pPr>
        <w:pStyle w:val="1_631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5. В текстовом </w:t>
      </w:r>
      <w:hyperlink w:tooltip="Сведения о заявителе" w:anchor="P1211" w:history="1">
        <w:r>
          <w:rPr>
            <w:color w:val="0000ff"/>
            <w:sz w:val="24"/>
          </w:rPr>
          <w:t xml:space="preserve">поле</w:t>
        </w:r>
      </w:hyperlink>
      <w:r>
        <w:rPr>
          <w:sz w:val="24"/>
        </w:rPr>
        <w:t xml:space="preserve"> "Сведения о заявителе" формы заявления указываются следующие сведения: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а) в случае если заявителем является организация - полное и сокращенное (при наличии) наименования организации, адрес организации, основной государственный регистрационный номер орга</w:t>
      </w:r>
      <w:r>
        <w:rPr>
          <w:sz w:val="24"/>
        </w:rPr>
        <w:t xml:space="preserve">низации, идентификационный номер налогоплательщика организации, код причины постановки на учет организации в налоговом органе, которые указываются в соответствии со сведениями, содержащимися в Едином государственном реестре юридических лиц, а также номер к</w:t>
      </w:r>
      <w:r>
        <w:rPr>
          <w:sz w:val="24"/>
        </w:rPr>
        <w:t xml:space="preserve">онтактного телефона организации с кодом страны и населенного пункта (без пробелов и прочерков), адрес электронной почты организации (при наличии), который состоит из двух частей, разделенных символом "@" (в левой части указывается имя почтового ящика, в пр</w:t>
      </w:r>
      <w:r>
        <w:rPr>
          <w:sz w:val="24"/>
        </w:rPr>
        <w:t xml:space="preserve">авой части указывается доменное имя сервера, на котором располагается электронный почтовый ящик), адрес официального сайта организации в информационно-телекоммуникационной сети "Интернет", который состоит из протокола (http:) и доменного имени этого сайта;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б) в случае если заявителем является индивидуальный предприниматель - фамилия, имя, отчество (при наличии) индивидуального предпринимателя, све</w:t>
      </w:r>
      <w:r>
        <w:rPr>
          <w:sz w:val="24"/>
        </w:rPr>
        <w:t xml:space="preserve">дения о документе, удостоверяющем личность индивидуального предпринимателя (наименование, серия и номер, дата и место выдачи документа, удостоверяющего личность, наименование органа, выдавшего документ, удостоверяющий личность), основной государственный ре</w:t>
      </w:r>
      <w:r>
        <w:rPr>
          <w:sz w:val="24"/>
        </w:rPr>
        <w:t xml:space="preserve">гистрационный номер индивидуального предпринимателя, адрес регистрации индивидуального предпринимателя, идентификационный номер налогоплательщика индивидуального предпринимателя, страховой номер индивидуального лицевого счета индивидуального предпринимател</w:t>
      </w:r>
      <w:r>
        <w:rPr>
          <w:sz w:val="24"/>
        </w:rPr>
        <w:t xml:space="preserve">я в системе обязательного пенсионного страхования, которые указываются в соответствии со сведениями, содержащимися в Едином государственном реестре индивидуальных предпринимателей, а также номер контактного телефона индивидуального предпринимателя с кодом </w:t>
      </w:r>
      <w:r>
        <w:rPr>
          <w:sz w:val="24"/>
        </w:rPr>
        <w:t xml:space="preserve">страны и населенного пункта (без пробелов и прочерков), адрес электронной почты (при наличии) индивидуального предпринимателя, который состоит из двух частей, разделенных символом "@" (в левой части указывается имя почтового ящика, в правой части указывает</w:t>
      </w:r>
      <w:r>
        <w:rPr>
          <w:sz w:val="24"/>
        </w:rPr>
        <w:t xml:space="preserve">ся доменное имя сервера, на котором располагается электронный почтовый ящик), адрес официального сайта индивидуального предпринимателя в информационно-телекоммуникационной сети "Интернет", который состоит из протокола (http:) и доменного имени этого сайта.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В случае если заявителем является иностранный гражданин или лицо без граж</w:t>
      </w:r>
      <w:r>
        <w:rPr>
          <w:sz w:val="24"/>
        </w:rPr>
        <w:t xml:space="preserve">данства, фамилия, имя, отчество (при наличии) дополнительно указываются с помощью букв латинского алфавита на основании сведений, содержащихся в документе, удостоверяющем личность иностранного гражданина или лица без гражданства в Российской Федерации &lt;5&gt;.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&lt;5&gt; </w:t>
      </w:r>
      <w:hyperlink r:id="rId12" w:tooltip="Федеральный закон от 25.07.2002 N 115-ФЗ (ред. от 04.11.2025) &quot;О правовом положении иностранных граждан в Российской Федерации&quot; {КонсультантПлюс}" w:history="1">
        <w:r>
          <w:rPr>
            <w:color w:val="0000ff"/>
            <w:sz w:val="24"/>
          </w:rPr>
          <w:t xml:space="preserve">Статья 10</w:t>
        </w:r>
      </w:hyperlink>
      <w:r>
        <w:rPr>
          <w:sz w:val="24"/>
        </w:rPr>
        <w:t xml:space="preserve"> Федерального закона от 25 июля 2002 г. N 115-ФЗ "О правовом положении иностранных граждан в Российской Федерации".</w:t>
      </w:r>
      <w:r/>
      <w:r/>
    </w:p>
    <w:p>
      <w:pPr>
        <w:pStyle w:val="1_631"/>
        <w:jc w:val="both"/>
      </w:pPr>
      <w:r>
        <w:rPr>
          <w:sz w:val="24"/>
        </w:rPr>
      </w:r>
      <w:r/>
      <w:r/>
    </w:p>
    <w:p>
      <w:pPr>
        <w:pStyle w:val="1_631"/>
        <w:ind w:firstLine="540"/>
        <w:jc w:val="both"/>
      </w:pPr>
      <w:r/>
      <w:bookmarkStart w:id="0" w:name="undefined"/>
      <w:r/>
      <w:bookmarkEnd w:id="0"/>
      <w:r>
        <w:rPr>
          <w:sz w:val="24"/>
        </w:rPr>
        <w:t xml:space="preserve">6. В текстовом </w:t>
      </w:r>
      <w:hyperlink w:tooltip="Сведения о филиале" w:anchor="P1226" w:history="1">
        <w:r>
          <w:rPr>
            <w:color w:val="0000ff"/>
            <w:sz w:val="24"/>
          </w:rPr>
          <w:t xml:space="preserve">поле</w:t>
        </w:r>
      </w:hyperlink>
      <w:r>
        <w:rPr>
          <w:sz w:val="24"/>
        </w:rPr>
        <w:t xml:space="preserve"> "Сведения о филиале" формы заявления указываются полное и сокращенное (при налич</w:t>
      </w:r>
      <w:r>
        <w:rPr>
          <w:sz w:val="24"/>
        </w:rPr>
        <w:t xml:space="preserve">ии) наименования филиала организации, адрес филиала организации, код причины постановки на учет филиала организации в налоговом органе по месту нахождения филиала в соответствии со сведениями, содержащимися в Едином государственном реестре юридических лиц.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Текстовое </w:t>
      </w:r>
      <w:hyperlink w:tooltip="Сведения о филиале" w:anchor="P1226" w:history="1">
        <w:r>
          <w:rPr>
            <w:color w:val="0000ff"/>
            <w:sz w:val="24"/>
          </w:rPr>
          <w:t xml:space="preserve">поле</w:t>
        </w:r>
      </w:hyperlink>
      <w:r>
        <w:rPr>
          <w:sz w:val="24"/>
        </w:rPr>
        <w:t xml:space="preserve"> "Сведения о филиале" формы заявления заполняется, если предоставление государственной аккредитации образовательной деятельности необходимо в отношении основных образовательных программ, реализуемых филиалом (филиалами) организации. В ином случае </w:t>
      </w:r>
      <w:hyperlink w:tooltip="Сведения о филиале" w:anchor="P1226" w:history="1">
        <w:r>
          <w:rPr>
            <w:color w:val="0000ff"/>
            <w:sz w:val="24"/>
          </w:rPr>
          <w:t xml:space="preserve">поле</w:t>
        </w:r>
      </w:hyperlink>
      <w:r>
        <w:rPr>
          <w:sz w:val="24"/>
        </w:rPr>
        <w:t xml:space="preserve"> "Сведения о филиале" из формы заявления исключается.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7. В </w:t>
      </w:r>
      <w:hyperlink w:tooltip="1." w:anchor="P1237" w:history="1">
        <w:r>
          <w:rPr>
            <w:color w:val="0000ff"/>
            <w:sz w:val="24"/>
          </w:rPr>
          <w:t xml:space="preserve">строке 1</w:t>
        </w:r>
      </w:hyperlink>
      <w:r>
        <w:rPr>
          <w:sz w:val="24"/>
        </w:rPr>
        <w:t xml:space="preserve"> формы заявления указываются дата и номер решения о распределении контрольных ци</w:t>
      </w:r>
      <w:r>
        <w:rPr>
          <w:sz w:val="24"/>
        </w:rPr>
        <w:t xml:space="preserve">фр приема за счет бюджетных ассигнований федерального бюджета, бюджетов субъектов Российской Федерации и местных бюджетов (далее - контрольные цифры приема) и наименование органа публичной власти, принявшего решение о распределении контрольных цифр приема.</w:t>
      </w:r>
      <w:r/>
      <w:r/>
    </w:p>
    <w:p>
      <w:pPr>
        <w:pStyle w:val="1_631"/>
        <w:ind w:firstLine="540"/>
        <w:jc w:val="both"/>
        <w:spacing w:before="240"/>
      </w:pPr>
      <w:r/>
      <w:bookmarkStart w:id="0" w:name="undefined"/>
      <w:r/>
      <w:bookmarkEnd w:id="0"/>
      <w:r>
        <w:rPr>
          <w:sz w:val="24"/>
        </w:rPr>
        <w:t xml:space="preserve">8. </w:t>
      </w:r>
      <w:hyperlink w:tooltip="2." w:anchor="P1244" w:history="1">
        <w:r>
          <w:rPr>
            <w:color w:val="0000ff"/>
            <w:sz w:val="24"/>
          </w:rPr>
          <w:t xml:space="preserve">Строка 2</w:t>
        </w:r>
      </w:hyperlink>
      <w:r>
        <w:rPr>
          <w:sz w:val="24"/>
        </w:rPr>
        <w:t xml:space="preserve"> формы заявления заполняется в соответствии с </w:t>
      </w:r>
      <w:hyperlink r:id="rId13" w:tooltip="Федеральный закон от 29.12.2012 N 273-ФЗ (ред. от 08.03.2026) &quot;Об образовании в Российской Федерации&quot; {КонсультантПлюс}" w:history="1">
        <w:r>
          <w:rPr>
            <w:color w:val="0000ff"/>
            <w:sz w:val="24"/>
          </w:rPr>
          <w:t xml:space="preserve">частью 5 статьи 10</w:t>
        </w:r>
      </w:hyperlink>
      <w:r>
        <w:rPr>
          <w:sz w:val="24"/>
        </w:rPr>
        <w:t xml:space="preserve"> Федерального закона N 273-ФЗ.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В графах "</w:t>
      </w:r>
      <w:hyperlink w:tooltip="Код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" w:anchor="P1247" w:history="1">
        <w:r>
          <w:rPr>
            <w:color w:val="0000ff"/>
            <w:sz w:val="24"/>
          </w:rPr>
          <w:t xml:space="preserve">Код</w:t>
        </w:r>
      </w:hyperlink>
      <w:r>
        <w:rPr>
          <w:sz w:val="24"/>
        </w:rPr>
        <w:t xml:space="preserve">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подготовки", "</w:t>
      </w:r>
      <w:hyperlink w:tooltip="Наименование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" w:anchor="P1248" w:history="1">
        <w:r>
          <w:rPr>
            <w:color w:val="0000ff"/>
            <w:sz w:val="24"/>
          </w:rPr>
          <w:t xml:space="preserve">Наименование</w:t>
        </w:r>
      </w:hyperlink>
      <w:r>
        <w:rPr>
          <w:sz w:val="24"/>
        </w:rPr>
        <w:t xml:space="preserve">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подготовки" строки 2 </w:t>
      </w:r>
      <w:r>
        <w:rPr>
          <w:sz w:val="24"/>
        </w:rPr>
        <w:t xml:space="preserve">формы заявления указываются соответственно коды и наименования укрупненных групп профессий, специальностей и направлений подготовки, профессий, специальностей, направлений подготовки, по которым установлены контрольные цифры приема, утвержденные приказами: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Министерства образования и науки Российской Федерации от 29 октября 2013 г. </w:t>
      </w:r>
      <w:hyperlink r:id="rId14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 w:history="1">
        <w:r>
          <w:rPr>
            <w:color w:val="0000ff"/>
            <w:sz w:val="24"/>
          </w:rPr>
          <w:t xml:space="preserve">N 1199</w:t>
        </w:r>
      </w:hyperlink>
      <w:r>
        <w:rPr>
          <w:sz w:val="24"/>
        </w:rPr>
        <w:t xml:space="preserve"> "О</w:t>
      </w:r>
      <w:r>
        <w:rPr>
          <w:sz w:val="24"/>
        </w:rPr>
        <w:t xml:space="preserve">б утверждении перечней профессий и специальностей среднего профессионального образования" (зарегистрирован Министерством юстиции Российской Федерации 26 декабря 2013 г., регистрационный N 30861) с изменениями, внесенными приказами Министерства образования </w:t>
      </w:r>
      <w:r>
        <w:rPr>
          <w:sz w:val="24"/>
        </w:rPr>
        <w:t xml:space="preserve">и науки Российской Федерации от 14 мая 2014 г. N 518 (зарегистрирован Министерством юстиции Российской Федерации 28 мая 2014 г., регистрационный N 32461), от 18 ноября 2015 г. N 1350 (зарегистрирован Министерством юстиции Российской Федерации 3 декабря 201</w:t>
      </w:r>
      <w:r>
        <w:rPr>
          <w:sz w:val="24"/>
        </w:rPr>
        <w:t xml:space="preserve">5 г., регистрационный N 39955), от 25 ноября 2016 г. N 1477 (зарегистрирован Министерством юстиции Российской Федерации 12 декабря 2016 г., регистрационный N 44662), и изменениями, внесенными приказами Министерства просвещения Российской Федерации от 3 дек</w:t>
      </w:r>
      <w:r>
        <w:rPr>
          <w:sz w:val="24"/>
        </w:rPr>
        <w:t xml:space="preserve">абря 2019 г. N 655 (зарегистрирован Министерством юстиции Российской Федерации 21 февраля 2020 г., регистрационный N 57581), от 20 января 2021 г. N 15 (зарегистрирован Министерством юстиции Российской Федерации 19 февраля 2021 г., регистрационный N 62570);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Министерства образования и науки Российской Федерации от 12 сентября 2013 г. </w:t>
      </w:r>
      <w:hyperlink r:id="rId15" w:tooltip="Приказ Минобрнауки России от 12.09.2013 N 1060 (ред. от 29.08.2022) &quot;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 государственную тайну или служебную информацию ограниченного распространения&quot; (Зарегистрировано в Минюсте России 14.10.2013 N 30160) {КонсультантПлюс}" w:history="1">
        <w:r>
          <w:rPr>
            <w:color w:val="0000ff"/>
            <w:sz w:val="24"/>
          </w:rPr>
          <w:t xml:space="preserve">N 1060</w:t>
        </w:r>
      </w:hyperlink>
      <w:r>
        <w:rPr>
          <w:sz w:val="24"/>
        </w:rPr>
        <w:t xml:space="preserve"> "Об утверждении перечней специальностей и направлений подготовки высшего образования, применяемых при реализации образовательных программ высшего образования, содержащих сведения, составляющие госуда</w:t>
      </w:r>
      <w:r>
        <w:rPr>
          <w:sz w:val="24"/>
        </w:rPr>
        <w:t xml:space="preserve">рственную тайну или служебную информацию ограниченного распространения" (зарегистрирован Министерством юстиции Российской Федерации 14 октября 2013 г., регистрационный N 30160) с изменениями, внесенными приказами Министерства образования и науки Российской</w:t>
      </w:r>
      <w:r>
        <w:rPr>
          <w:sz w:val="24"/>
        </w:rPr>
        <w:t xml:space="preserve"> Федерации от 9 января 2017 г. N 9 (зарегистрирован Министерством юстиции Российской Федерации 3 февраля 2017 г., регистрационный N 45524), от 10 апреля 2017 г. N 320 (зарегистрирован Министерством юстиции Российской Федерации 10 мая 2017 г., регистрационн</w:t>
      </w:r>
      <w:r>
        <w:rPr>
          <w:sz w:val="24"/>
        </w:rPr>
        <w:t xml:space="preserve">ый N 46662), от 23 марта 2018 г. N 210 (зарегистрирован Министерством юстиции Российской Федерации 11 апреля 2018 г., регистрационный N 50727), и изменениями, внесенными приказами Министерства науки и высшего образования Российской Федерации от 28 сентября</w:t>
      </w:r>
      <w:r>
        <w:rPr>
          <w:sz w:val="24"/>
        </w:rPr>
        <w:t xml:space="preserve"> 2020 г. N 1240 (зарегистрирован Министерством юстиции Российской Федерации 27 октября 2020 г., регистрационный N 60588), от 29 августа 2022 г. N 823 (зарегистрирован Министерством юстиции Российской Федерации 29 сентября 2022 г., регистрационный N 70284);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Министерства образования и науки Российской Федерации от 12 сентября 2013 г. </w:t>
      </w:r>
      <w:hyperlink r:id="rId16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 w:history="1">
        <w:r>
          <w:rPr>
            <w:color w:val="0000ff"/>
            <w:sz w:val="24"/>
          </w:rPr>
          <w:t xml:space="preserve">N 1061</w:t>
        </w:r>
      </w:hyperlink>
      <w:r>
        <w:rPr>
          <w:sz w:val="24"/>
        </w:rPr>
        <w:t xml:space="preserve"> "Об утверждении перечней специальностей и направлений подготовки высшего образования" (зарегистрирован Министерством юстиции Российской Федерации 14 октября 2013 г., регистрационный N 30163) с изменениями, внесенными приказами Министерс</w:t>
      </w:r>
      <w:r>
        <w:rPr>
          <w:sz w:val="24"/>
        </w:rPr>
        <w:t xml:space="preserve">тва образования и науки Российской Федерации от 29 января 2014 г. N 63 (зарегистрирован Министерством юстиции Российской Федерации 28 февраля 2014 г., регистрационный N 31448), от 20 августа 2014 г. N 1033 (зарегистрирован Министерством юстиции Российской </w:t>
      </w:r>
      <w:r>
        <w:rPr>
          <w:sz w:val="24"/>
        </w:rPr>
        <w:t xml:space="preserve">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</w:t>
      </w:r>
      <w:r>
        <w:rPr>
          <w:sz w:val="24"/>
        </w:rPr>
        <w:t xml:space="preserve">оссийской Федерации 22 апреля 2015 г., регистрационный N 36994), от 1 октября 2015 г. N 1080 (зарегистрирован Министерством юстиции Российской Федерации 19 октября 2015 г., регистрационный N 39355), от 1 декабря 2016 г. N 1508 (зарегистрирован Министерство</w:t>
      </w:r>
      <w:r>
        <w:rPr>
          <w:sz w:val="24"/>
        </w:rPr>
        <w:t xml:space="preserve">м юстиции Российской Федерации 20 декабря 2016 г., регистрационный N 44807), от 10 апреля 2017 г. N 320 (зарегистрирован Министерством юстиции Российской Федерации 10 мая 2017 г., регистрационный N 46662), от 11 апреля 2017 г. N 328 (зарегистрирован Минист</w:t>
      </w:r>
      <w:r>
        <w:rPr>
          <w:sz w:val="24"/>
        </w:rPr>
        <w:t xml:space="preserve">ерством юстиции Российской Федерации 23 июня 2017 г., регистрационный N 47167), от 23 марта 2018 г. N 210 (зарегистрирован Министерством юстиции Российской Федерации 11 апреля 2018 г., регистрационный N 50727), и изменениями, внесенными приказами Министерс</w:t>
      </w:r>
      <w:r>
        <w:rPr>
          <w:sz w:val="24"/>
        </w:rPr>
        <w:t xml:space="preserve">тва науки и высшего образования Российской Федерации от 30 августа 2019 г. N 664 (зарегистрирован Министерством юстиции Российской Федерации 23 сентября 2019 г., регистрационный N 56026), от 15 апреля 2021 г. N 296 (зарегистрирован Министерством юстиции Ро</w:t>
      </w:r>
      <w:r>
        <w:rPr>
          <w:sz w:val="24"/>
        </w:rPr>
        <w:t xml:space="preserve">ссийской Федерации 27 апреля 2021 г., регистрационный N 63245), от 13 декабря 2021 г. N 1229 (зарегистрирован Министерством юстиции Российской Федерации 13 апреля 2022 г., регистрационный N 68183), для соответствующего уровня профессионального образования.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Наи</w:t>
      </w:r>
      <w:r>
        <w:rPr>
          <w:sz w:val="24"/>
        </w:rPr>
        <w:t xml:space="preserve">менование образовательной программы среднего профессионального образования вносится в графу "Наименование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подготовки" </w:t>
      </w:r>
      <w:hyperlink w:tooltip="Наименование укрупненной группы профессий, специальностей и направлений подготовки профессионального образования/профессии, специальности, направления подготовки" w:anchor="P1248" w:history="1">
        <w:r>
          <w:rPr>
            <w:color w:val="0000ff"/>
            <w:sz w:val="24"/>
          </w:rPr>
          <w:t xml:space="preserve">строки 2</w:t>
        </w:r>
      </w:hyperlink>
      <w:r>
        <w:rPr>
          <w:sz w:val="24"/>
        </w:rPr>
        <w:t xml:space="preserve"> формы заявления с указанием в скобках типа подготовки (базовая подготовка либо углубленная подготовка) (при наличии), а также срока получения образования по очной форме обучения в соответствии с федеральным государственным образовательным стандартом.</w:t>
      </w: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  <w:style w:type="paragraph" w:styleId="1_632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1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528383&amp;date=13.04.2026&amp;dst=638&amp;field=134" TargetMode="External"/><Relationship Id="rId9" Type="http://schemas.openxmlformats.org/officeDocument/2006/relationships/hyperlink" Target="https://login.consultant.ru/link/?req=doc&amp;base=LAW&amp;n=428697&amp;date=13.04.2026&amp;dst=100008&amp;field=134" TargetMode="External"/><Relationship Id="rId10" Type="http://schemas.openxmlformats.org/officeDocument/2006/relationships/hyperlink" Target="https://login.consultant.ru/link/?req=doc&amp;base=LAW&amp;n=521885&amp;date=13.04.2026&amp;dst=100173&amp;field=134" TargetMode="External"/><Relationship Id="rId11" Type="http://schemas.openxmlformats.org/officeDocument/2006/relationships/hyperlink" Target="https://login.consultant.ru/link/?req=doc&amp;base=LAW&amp;n=523235&amp;date=13.04.2026&amp;dst=363&amp;field=134" TargetMode="External"/><Relationship Id="rId12" Type="http://schemas.openxmlformats.org/officeDocument/2006/relationships/hyperlink" Target="https://login.consultant.ru/link/?req=doc&amp;base=LAW&amp;n=518134&amp;date=13.04.2026&amp;dst=100091&amp;field=134" TargetMode="External"/><Relationship Id="rId13" Type="http://schemas.openxmlformats.org/officeDocument/2006/relationships/hyperlink" Target="https://login.consultant.ru/link/?req=doc&amp;base=LAW&amp;n=528383&amp;date=13.04.2026&amp;dst=100189&amp;field=134" TargetMode="External"/><Relationship Id="rId14" Type="http://schemas.openxmlformats.org/officeDocument/2006/relationships/hyperlink" Target="https://login.consultant.ru/link/?req=doc&amp;base=LAW&amp;n=377712&amp;date=13.04.2026" TargetMode="External"/><Relationship Id="rId15" Type="http://schemas.openxmlformats.org/officeDocument/2006/relationships/hyperlink" Target="https://login.consultant.ru/link/?req=doc&amp;base=LAW&amp;n=427832&amp;date=13.04.2026" TargetMode="External"/><Relationship Id="rId16" Type="http://schemas.openxmlformats.org/officeDocument/2006/relationships/hyperlink" Target="https://login.consultant.ru/link/?req=doc&amp;base=LAW&amp;n=414616&amp;date=13.04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2026-04-13T06:07:07Z</dcterms:modified>
</cp:coreProperties>
</file>